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6">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7">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tabs>
          <w:tab w:val="left"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A">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B">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0E">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0F">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0">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1">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tabs>
          <w:tab w:val="left"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4">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5">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6">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7">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8">
      <w:pPr>
        <w:keepNext w:val="1"/>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9">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A">
      <w:pPr>
        <w:keepNext w:val="1"/>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B">
      <w:pPr>
        <w:widowControl w:val="1"/>
        <w:numPr>
          <w:ilvl w:val="4"/>
          <w:numId w:val="1"/>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C">
      <w:pPr>
        <w:widowControl w:val="1"/>
        <w:numPr>
          <w:ilvl w:val="4"/>
          <w:numId w:val="1"/>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D">
      <w:pPr>
        <w:widowControl w:val="1"/>
        <w:numPr>
          <w:ilvl w:val="4"/>
          <w:numId w:val="1"/>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E">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1F">
      <w:pPr>
        <w:keepNext w:val="1"/>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0">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1">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2">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3">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4">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5">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6">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tabs>
          <w:tab w:val="left"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9">
      <w:pPr>
        <w:keepNext w:val="1"/>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A">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B">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C">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D">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E">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2F">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0">
      <w:pPr>
        <w:keepNext w:val="1"/>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1">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2">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3">
      <w:pPr>
        <w:widowControl w:val="1"/>
        <w:numPr>
          <w:ilvl w:val="4"/>
          <w:numId w:val="1"/>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4">
      <w:pPr>
        <w:widowControl w:val="1"/>
        <w:numPr>
          <w:ilvl w:val="4"/>
          <w:numId w:val="1"/>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5">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6">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7">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8">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9">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A">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B">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C">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D">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E">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3F">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0">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t>
      </w:r>
      <w:r w:rsidDel="00000000" w:rsidR="00000000" w:rsidRPr="00000000">
        <w:rPr>
          <w:rFonts w:ascii="Arial Bold" w:cs="Arial Bold" w:eastAsia="Arial Bold" w:hAnsi="Arial Bold"/>
          <w:b w:val="1"/>
          <w:color w:val="000000"/>
          <w:sz w:val="24"/>
          <w:szCs w:val="24"/>
          <w:highlight w:val="yellow"/>
          <w:rtl w:val="0"/>
        </w:rPr>
        <w:t xml:space="preserve">Guidance:</w:t>
      </w:r>
      <w:r w:rsidDel="00000000" w:rsidR="00000000" w:rsidRPr="00000000">
        <w:rPr>
          <w:rFonts w:ascii="Arial Bold" w:cs="Arial Bold" w:eastAsia="Arial Bold" w:hAnsi="Arial Bold"/>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Include this Paragraph if the buyer has the option of using a reverse auction at call-off. </w:t>
      </w:r>
      <w:r w:rsidDel="00000000" w:rsidR="00000000" w:rsidRPr="00000000">
        <w:rPr>
          <w:rtl w:val="0"/>
        </w:rPr>
      </w:r>
    </w:p>
    <w:p w:rsidR="00000000" w:rsidDel="00000000" w:rsidP="00000000" w:rsidRDefault="00000000" w:rsidRPr="00000000" w14:paraId="00000041">
      <w:pPr>
        <w:keepNext w:val="1"/>
        <w:widowControl w:val="1"/>
        <w:pBdr>
          <w:top w:space="0" w:sz="0" w:val="nil"/>
          <w:left w:space="0" w:sz="0" w:val="nil"/>
          <w:bottom w:space="0" w:sz="0" w:val="nil"/>
          <w:right w:space="0" w:sz="0" w:val="nil"/>
          <w:between w:space="0" w:sz="0" w:val="nil"/>
        </w:pBdr>
        <w:tabs>
          <w:tab w:val="left" w:pos="142"/>
        </w:tabs>
        <w:spacing w:after="240" w:before="120" w:lineRule="auto"/>
        <w:ind w:left="360" w:firstLine="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2">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3">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4">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5">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6">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7">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8">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9">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A">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4B">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4C">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4D">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4E">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4F">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50">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1">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52">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3">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4">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5">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6">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7">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58">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9">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A">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5B">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5C">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5D">
      <w:pPr>
        <w:widowControl w:val="1"/>
        <w:numPr>
          <w:ilvl w:val="2"/>
          <w:numId w:val="1"/>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tabs>
          <w:tab w:val="left"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F">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60">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61">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4">
      <w:pPr>
        <w:widowControl w:val="1"/>
        <w:numPr>
          <w:ilvl w:val="0"/>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5">
      <w:pPr>
        <w:widowControl w:val="1"/>
        <w:numPr>
          <w:ilvl w:val="0"/>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66">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7">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21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95"/>
        <w:gridCol w:w="5715"/>
        <w:tblGridChange w:id="0">
          <w:tblGrid>
            <w:gridCol w:w="3495"/>
            <w:gridCol w:w="5715"/>
          </w:tblGrid>
        </w:tblGridChange>
      </w:tblGrid>
      <w:tr>
        <w:trPr>
          <w:tblHeader w:val="0"/>
        </w:trPr>
        <w:tc>
          <w:tcPr>
            <w:shd w:fill="e7e6e6" w:val="clear"/>
          </w:tcPr>
          <w:p w:rsidR="00000000" w:rsidDel="00000000" w:rsidP="00000000" w:rsidRDefault="00000000" w:rsidRPr="00000000" w14:paraId="00000069">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 </w:t>
            </w:r>
          </w:p>
        </w:tc>
        <w:tc>
          <w:tcPr>
            <w:shd w:fill="e7e6e6" w:val="clear"/>
          </w:tcPr>
          <w:p w:rsidR="00000000" w:rsidDel="00000000" w:rsidP="00000000" w:rsidRDefault="00000000" w:rsidRPr="00000000" w14:paraId="0000006A">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6B">
            <w:pPr>
              <w:widowControl w:val="1"/>
              <w:spacing w:after="200" w:line="276"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r w:rsidDel="00000000" w:rsidR="00000000" w:rsidRPr="00000000">
              <w:rPr>
                <w:rtl w:val="0"/>
              </w:rPr>
            </w:r>
          </w:p>
        </w:tc>
      </w:tr>
      <w:tr>
        <w:trPr>
          <w:trHeight w:val="240" w:hRule="atLeast"/>
          <w:tblHeader w:val="0"/>
        </w:trPr>
        <w:tc>
          <w:tcPr>
            <w:gridSpan w:val="2"/>
          </w:tcPr>
          <w:p w:rsidR="00000000" w:rsidDel="00000000" w:rsidP="00000000" w:rsidRDefault="00000000" w:rsidRPr="00000000" w14:paraId="0000006C">
            <w:pPr>
              <w:keepNext w:val="1"/>
              <w:widowControl w:val="1"/>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Direct Award Criteria applied to the tenders of those Suppliers appointed to this Framework Contract shall be as follows: Criteria Value for money: e.g. the Buyer believes that the Supplier provides demonstrable value for money, which may include but is not limited to:</w:t>
            </w:r>
          </w:p>
          <w:p w:rsidR="00000000" w:rsidDel="00000000" w:rsidP="00000000" w:rsidRDefault="00000000" w:rsidRPr="00000000" w14:paraId="0000006D">
            <w:pPr>
              <w:keepNext w:val="1"/>
              <w:widowControl w:val="1"/>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Cost effectiveness;</w:t>
            </w:r>
          </w:p>
          <w:p w:rsidR="00000000" w:rsidDel="00000000" w:rsidP="00000000" w:rsidRDefault="00000000" w:rsidRPr="00000000" w14:paraId="0000006E">
            <w:pPr>
              <w:keepNext w:val="1"/>
              <w:widowControl w:val="1"/>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Price; and</w:t>
            </w:r>
          </w:p>
          <w:p w:rsidR="00000000" w:rsidDel="00000000" w:rsidP="00000000" w:rsidRDefault="00000000" w:rsidRPr="00000000" w14:paraId="0000006F">
            <w:pPr>
              <w:keepNext w:val="1"/>
              <w:widowControl w:val="1"/>
              <w:spacing w:after="120" w:before="240" w:lineRule="auto"/>
              <w:ind w:left="0" w:firstLine="0"/>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 Quality</w:t>
            </w:r>
            <w:r w:rsidDel="00000000" w:rsidR="00000000" w:rsidRPr="00000000">
              <w:rPr>
                <w:rtl w:val="0"/>
              </w:rPr>
            </w:r>
          </w:p>
        </w:tc>
      </w:tr>
    </w:tbl>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72">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r w:rsidDel="00000000" w:rsidR="00000000" w:rsidRPr="00000000">
        <w:rPr>
          <w:rtl w:val="0"/>
        </w:rPr>
      </w:r>
    </w:p>
    <w:p w:rsidR="00000000" w:rsidDel="00000000" w:rsidP="00000000" w:rsidRDefault="00000000" w:rsidRPr="00000000" w14:paraId="00000074">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criteria and weightings shall apply to the evaluation of tenders received through the Further Competition Procedure:</w:t>
      </w:r>
    </w:p>
    <w:tbl>
      <w:tblPr>
        <w:tblStyle w:val="Table2"/>
        <w:tblW w:w="870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25"/>
        <w:gridCol w:w="6375"/>
        <w:tblGridChange w:id="0">
          <w:tblGrid>
            <w:gridCol w:w="2325"/>
            <w:gridCol w:w="6375"/>
          </w:tblGrid>
        </w:tblGridChange>
      </w:tblGrid>
      <w:tr>
        <w:trPr>
          <w:tblHeader w:val="0"/>
        </w:trPr>
        <w:tc>
          <w:tcPr>
            <w:shd w:fill="e7e6e6" w:val="clear"/>
          </w:tcPr>
          <w:p w:rsidR="00000000" w:rsidDel="00000000" w:rsidP="00000000" w:rsidRDefault="00000000" w:rsidRPr="00000000" w14:paraId="00000075">
            <w:pPr>
              <w:widowControl w:val="1"/>
              <w:tabs>
                <w:tab w:val="left" w:pos="851"/>
              </w:tabs>
              <w:spacing w:after="120" w:before="120" w:lineRule="auto"/>
              <w:jc w:val="both"/>
              <w:rPr>
                <w:rFonts w:ascii="Arial" w:cs="Arial" w:eastAsia="Arial" w:hAnsi="Arial"/>
              </w:rPr>
            </w:pPr>
            <w:r w:rsidDel="00000000" w:rsidR="00000000" w:rsidRPr="00000000">
              <w:rPr>
                <w:rFonts w:ascii="Arial" w:cs="Arial" w:eastAsia="Arial" w:hAnsi="Arial"/>
                <w:b w:val="1"/>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76">
            <w:pPr>
              <w:widowControl w:val="1"/>
              <w:tabs>
                <w:tab w:val="left" w:pos="851"/>
              </w:tabs>
              <w:spacing w:after="120" w:before="120" w:lineRule="auto"/>
              <w:jc w:val="both"/>
              <w:rPr>
                <w:rFonts w:ascii="Arial" w:cs="Arial" w:eastAsia="Arial" w:hAnsi="Arial"/>
                <w:b w:val="1"/>
              </w:rPr>
            </w:pPr>
            <w:r w:rsidDel="00000000" w:rsidR="00000000" w:rsidRPr="00000000">
              <w:rPr>
                <w:rFonts w:ascii="Arial" w:cs="Arial" w:eastAsia="Arial" w:hAnsi="Arial"/>
                <w:b w:val="1"/>
                <w:rtl w:val="0"/>
              </w:rPr>
              <w:t xml:space="preserve">Percentage Weightings (or rank order of importance where applicable) - to be set by the Customer conducting the Further Competition Procedure</w:t>
            </w:r>
          </w:p>
        </w:tc>
      </w:tr>
      <w:tr>
        <w:trPr>
          <w:tblHeader w:val="0"/>
        </w:trPr>
        <w:tc>
          <w:tcPr/>
          <w:p w:rsidR="00000000" w:rsidDel="00000000" w:rsidP="00000000" w:rsidRDefault="00000000" w:rsidRPr="00000000" w14:paraId="00000077">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Quality </w:t>
            </w:r>
          </w:p>
        </w:tc>
        <w:tc>
          <w:tcPr/>
          <w:p w:rsidR="00000000" w:rsidDel="00000000" w:rsidP="00000000" w:rsidRDefault="00000000" w:rsidRPr="00000000" w14:paraId="00000078">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10% - 90%</w:t>
            </w:r>
          </w:p>
        </w:tc>
      </w:tr>
      <w:tr>
        <w:trPr>
          <w:tblHeader w:val="0"/>
        </w:trPr>
        <w:tc>
          <w:tcPr/>
          <w:p w:rsidR="00000000" w:rsidDel="00000000" w:rsidP="00000000" w:rsidRDefault="00000000" w:rsidRPr="00000000" w14:paraId="00000079">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Price </w:t>
            </w:r>
          </w:p>
        </w:tc>
        <w:tc>
          <w:tcPr/>
          <w:p w:rsidR="00000000" w:rsidDel="00000000" w:rsidP="00000000" w:rsidRDefault="00000000" w:rsidRPr="00000000" w14:paraId="0000007A">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10% - 90%</w:t>
            </w:r>
          </w:p>
        </w:tc>
      </w:tr>
    </w:tbl>
    <w:p w:rsidR="00000000" w:rsidDel="00000000" w:rsidP="00000000" w:rsidRDefault="00000000" w:rsidRPr="00000000" w14:paraId="0000007B">
      <w:pPr>
        <w:widowControl w:val="1"/>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alibri Light"/>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86">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87">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8">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B">
    <w:pPr>
      <w:tabs>
        <w:tab w:val="left" w:pos="720"/>
        <w:tab w:val="left" w:pos="1440"/>
        <w:tab w:val="left" w:pos="2160"/>
        <w:tab w:val="left" w:pos="2880"/>
        <w:tab w:val="left" w:pos="3600"/>
        <w:tab w:val="center" w:pos="4513"/>
      </w:tabs>
      <w:rPr>
        <w:rFonts w:ascii="Arial" w:cs="Arial" w:eastAsia="Arial" w:hAnsi="Arial"/>
        <w:sz w:val="20"/>
        <w:szCs w:val="20"/>
      </w:rPr>
    </w:pPr>
    <w:bookmarkStart w:colFirst="0" w:colLast="0" w:name="_heading=h.gjdgxs" w:id="12"/>
    <w:bookmarkEnd w:id="12"/>
    <w:r w:rsidDel="00000000" w:rsidR="00000000" w:rsidRPr="00000000">
      <w:rPr>
        <w:rFonts w:ascii="Arial" w:cs="Arial" w:eastAsia="Arial" w:hAnsi="Arial"/>
        <w:sz w:val="20"/>
        <w:szCs w:val="20"/>
        <w:rtl w:val="0"/>
      </w:rPr>
      <w:t xml:space="preserve">Model Version : v3.3</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Light" w:cs="Calibri Light" w:eastAsia="Calibri Light" w:hAnsi="Calibri Light"/>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pPr>
      <w:numPr>
        <w:numId w:val="17"/>
      </w:numPr>
    </w:pPr>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15"/>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15"/>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15"/>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ua7YoulB3aiFYL5AkCV0Ww2NYA==">AMUW2mVmz4AgukbP2sS3TXD1s8YSiX3IxQa0qgmfFci7mf4DxaE3x01xhJfglm7ABkU7+VZH7DUQBh6JRVaQ+OSJU1JXrpWro/6jlmkFTqcLUrKVtPj5cXKQNu55D/iZ/3b4lWjuV04an2XjgddqF4d5JnHVKvyZ4xwQ4YoxR9GXRcDwqMdTRnQPgZU/Jtywzru0QCT08ot9lWPEwDoe/s10JKQ4zhYlR7hijMHBKa+syJ4wPj2X/PS3ar/Q/edS0K9xJtnM0UQpUqL3wnw8cAcsUYr7z1UwWU5xMhkTShe7PhkfmvE7m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2020-10-15T09:02:00Z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